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06A8" w14:textId="77777777" w:rsidR="00D30A84" w:rsidRDefault="00D30A84"/>
    <w:tbl>
      <w:tblPr>
        <w:tblpPr w:leftFromText="180" w:rightFromText="180" w:vertAnchor="text" w:tblpXSpec="center" w:tblpY="1"/>
        <w:tblOverlap w:val="never"/>
        <w:tblW w:w="0" w:type="auto"/>
        <w:tblLook w:val="0000" w:firstRow="0" w:lastRow="0" w:firstColumn="0" w:lastColumn="0" w:noHBand="0" w:noVBand="0"/>
      </w:tblPr>
      <w:tblGrid>
        <w:gridCol w:w="9360"/>
      </w:tblGrid>
      <w:tr w:rsidR="00D30A84" w14:paraId="14DC0FD3" w14:textId="77777777" w:rsidTr="0039533F">
        <w:trPr>
          <w:cantSplit/>
        </w:trPr>
        <w:tc>
          <w:tcPr>
            <w:tcW w:w="16150" w:type="dxa"/>
            <w:vAlign w:val="center"/>
          </w:tcPr>
          <w:p w14:paraId="31194E92" w14:textId="03B96409" w:rsidR="00D30A84" w:rsidRPr="00457FF4" w:rsidRDefault="00D30A84" w:rsidP="00B80786">
            <w:pPr>
              <w:jc w:val="center"/>
            </w:pPr>
          </w:p>
          <w:p w14:paraId="32E81453" w14:textId="306CA6B0" w:rsidR="00D30A84" w:rsidRPr="00457FF4" w:rsidRDefault="00A53666" w:rsidP="00F02F2F">
            <w:pPr>
              <w:tabs>
                <w:tab w:val="left" w:pos="8633"/>
              </w:tabs>
              <w:jc w:val="center"/>
            </w:pPr>
            <w:r>
              <w:rPr>
                <w:noProof/>
              </w:rPr>
              <w:drawing>
                <wp:inline distT="0" distB="0" distL="0" distR="0" wp14:anchorId="53437B56" wp14:editId="521B58D4">
                  <wp:extent cx="8228571" cy="914286"/>
                  <wp:effectExtent l="0" t="0" r="1270" b="635"/>
                  <wp:docPr id="105086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68478" name="Picture 1050868478"/>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Pr="00457FF4" w:rsidRDefault="00D30A84" w:rsidP="00B80786">
            <w:pPr>
              <w:ind w:leftChars="600" w:left="1440" w:right="1440"/>
              <w:jc w:val="right"/>
            </w:pPr>
          </w:p>
          <w:p w14:paraId="1AC3C8A5" w14:textId="6332DD82" w:rsidR="002E3005" w:rsidRPr="004C2881" w:rsidRDefault="00D30A84" w:rsidP="00D11FF2">
            <w:pPr>
              <w:ind w:left="1440" w:right="1080"/>
              <w:jc w:val="both"/>
              <w:rPr>
                <w:b/>
                <w:bCs/>
              </w:rPr>
            </w:pPr>
            <w:r w:rsidRPr="004C2881">
              <w:rPr>
                <w:b/>
                <w:bCs/>
              </w:rPr>
              <w:t xml:space="preserve">Nano Brief </w:t>
            </w:r>
            <w:r w:rsidRPr="004C2881">
              <w:rPr>
                <w:b/>
                <w:bCs/>
              </w:rPr>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2pt;height:1.2pt" o:ole="">
                  <v:imagedata r:id="rId7" o:title=""/>
                </v:shape>
                <o:OLEObject Type="Embed" ProgID="PBrush" ShapeID="_x0000_i1025" DrawAspect="Content" ObjectID="_1780812518" r:id="rId8"/>
              </w:object>
            </w:r>
          </w:p>
          <w:p w14:paraId="0DFF8029" w14:textId="77777777" w:rsidR="00EE325C" w:rsidRDefault="00EE325C" w:rsidP="00081CAF">
            <w:pPr>
              <w:ind w:left="1440" w:right="1554"/>
              <w:jc w:val="both"/>
            </w:pPr>
          </w:p>
          <w:p w14:paraId="38930E56" w14:textId="598D369D" w:rsidR="00324CDC" w:rsidRDefault="00324CDC" w:rsidP="00081CAF">
            <w:pPr>
              <w:ind w:left="1440" w:right="1554"/>
              <w:jc w:val="both"/>
            </w:pPr>
            <w:r>
              <w:t xml:space="preserve">Ebatco will be </w:t>
            </w:r>
            <w:r w:rsidR="00563D0F">
              <w:t>exhibiting at</w:t>
            </w:r>
            <w:r>
              <w:t xml:space="preserve"> </w:t>
            </w:r>
            <w:r w:rsidR="009C5AB4" w:rsidRPr="00E928B3">
              <w:rPr>
                <w:rFonts w:ascii="Arial" w:hAnsi="Arial" w:cs="Arial"/>
                <w:b/>
                <w:bCs/>
                <w:caps/>
                <w:color w:val="000000"/>
                <w:sz w:val="22"/>
                <w:szCs w:val="22"/>
                <w:shd w:val="clear" w:color="auto" w:fill="FFFFFF"/>
              </w:rPr>
              <w:t>SemICon West</w:t>
            </w:r>
            <w:r w:rsidR="00E5249E" w:rsidRPr="00E5249E">
              <w:rPr>
                <w:rStyle w:val="Strong"/>
                <w:rFonts w:ascii="Arial" w:hAnsi="Arial" w:cs="Arial"/>
                <w:caps/>
                <w:shd w:val="clear" w:color="auto" w:fill="FFFFFF"/>
              </w:rPr>
              <w:t>,</w:t>
            </w:r>
            <w:r w:rsidRPr="00730E20">
              <w:rPr>
                <w:rStyle w:val="Strong"/>
                <w:caps/>
                <w:sz w:val="22"/>
                <w:szCs w:val="22"/>
                <w:shd w:val="clear" w:color="auto" w:fill="FFFFFF"/>
              </w:rPr>
              <w:t xml:space="preserve"> </w:t>
            </w:r>
            <w:r>
              <w:rPr>
                <w:rStyle w:val="Strong"/>
                <w:b w:val="0"/>
                <w:bCs w:val="0"/>
                <w:caps/>
                <w:shd w:val="clear" w:color="auto" w:fill="FFFFFF"/>
              </w:rPr>
              <w:t>J</w:t>
            </w:r>
            <w:r>
              <w:rPr>
                <w:rStyle w:val="Strong"/>
                <w:b w:val="0"/>
                <w:bCs w:val="0"/>
                <w:shd w:val="clear" w:color="auto" w:fill="FFFFFF"/>
              </w:rPr>
              <w:t>uly 9-11</w:t>
            </w:r>
            <w:r w:rsidR="00BF41BF">
              <w:rPr>
                <w:rStyle w:val="Strong"/>
                <w:b w:val="0"/>
                <w:bCs w:val="0"/>
                <w:shd w:val="clear" w:color="auto" w:fill="FFFFFF"/>
              </w:rPr>
              <w:t>,</w:t>
            </w:r>
            <w:r w:rsidR="00BF41BF">
              <w:rPr>
                <w:rStyle w:val="Strong"/>
                <w:shd w:val="clear" w:color="auto" w:fill="FFFFFF"/>
              </w:rPr>
              <w:t xml:space="preserve"> </w:t>
            </w:r>
            <w:r w:rsidR="00BF41BF" w:rsidRPr="00BF41BF">
              <w:rPr>
                <w:rStyle w:val="Strong"/>
                <w:b w:val="0"/>
                <w:bCs w:val="0"/>
                <w:shd w:val="clear" w:color="auto" w:fill="FFFFFF"/>
              </w:rPr>
              <w:t>2024</w:t>
            </w:r>
            <w:r>
              <w:rPr>
                <w:rStyle w:val="Strong"/>
                <w:b w:val="0"/>
                <w:bCs w:val="0"/>
                <w:shd w:val="clear" w:color="auto" w:fill="FFFFFF"/>
              </w:rPr>
              <w:t>. We will be thrilled to see you in San Francisco</w:t>
            </w:r>
            <w:r w:rsidR="00BF41BF">
              <w:rPr>
                <w:rStyle w:val="Strong"/>
                <w:b w:val="0"/>
                <w:bCs w:val="0"/>
                <w:shd w:val="clear" w:color="auto" w:fill="FFFFFF"/>
              </w:rPr>
              <w:t xml:space="preserve"> then</w:t>
            </w:r>
            <w:r>
              <w:rPr>
                <w:rStyle w:val="Strong"/>
                <w:b w:val="0"/>
                <w:bCs w:val="0"/>
                <w:shd w:val="clear" w:color="auto" w:fill="FFFFFF"/>
              </w:rPr>
              <w:t xml:space="preserve">! Please stop by Booth #6810 </w:t>
            </w:r>
            <w:r w:rsidRPr="00C03E9E">
              <w:t xml:space="preserve">to discuss the incredible world of </w:t>
            </w:r>
            <w:r w:rsidR="00960219">
              <w:t>semiconductor materials</w:t>
            </w:r>
            <w:r w:rsidRPr="00C03E9E">
              <w:t xml:space="preserve">, </w:t>
            </w:r>
            <w:r w:rsidR="00960219">
              <w:t xml:space="preserve">microelectronic </w:t>
            </w:r>
            <w:r w:rsidRPr="00C03E9E">
              <w:t xml:space="preserve">devices, and nano/micro scale surface characterization </w:t>
            </w:r>
            <w:r w:rsidR="00960219">
              <w:t xml:space="preserve">and failure analysis </w:t>
            </w:r>
            <w:r w:rsidR="00BF41BF">
              <w:t xml:space="preserve">of these materials and devices </w:t>
            </w:r>
            <w:r w:rsidRPr="00C03E9E">
              <w:t>with our staff scientists.</w:t>
            </w:r>
          </w:p>
          <w:p w14:paraId="304FCBD3" w14:textId="77777777" w:rsidR="00324CDC" w:rsidRDefault="00324CDC" w:rsidP="00081CAF">
            <w:pPr>
              <w:ind w:left="1440" w:right="1554"/>
              <w:jc w:val="both"/>
            </w:pPr>
          </w:p>
          <w:p w14:paraId="14917333" w14:textId="0C2DBCA8" w:rsidR="00324CDC" w:rsidRDefault="00960219" w:rsidP="00081CAF">
            <w:pPr>
              <w:ind w:left="1440" w:right="1554"/>
              <w:jc w:val="both"/>
            </w:pPr>
            <w:r>
              <w:t>This year w</w:t>
            </w:r>
            <w:r w:rsidR="0059452C">
              <w:t>e</w:t>
            </w:r>
            <w:r w:rsidR="00324CDC" w:rsidRPr="00C03E9E">
              <w:t xml:space="preserve"> </w:t>
            </w:r>
            <w:r>
              <w:t xml:space="preserve">have </w:t>
            </w:r>
            <w:r w:rsidR="00BF41BF">
              <w:t xml:space="preserve">also </w:t>
            </w:r>
            <w:r>
              <w:t>scheduled to</w:t>
            </w:r>
            <w:r w:rsidR="00324CDC">
              <w:t xml:space="preserve"> exhibit at</w:t>
            </w:r>
            <w:r w:rsidR="00324CDC" w:rsidRPr="00C03E9E">
              <w:t xml:space="preserve"> the following upcoming events:</w:t>
            </w:r>
          </w:p>
          <w:p w14:paraId="4D6CE615" w14:textId="77777777" w:rsidR="00324CDC" w:rsidRDefault="00324CDC" w:rsidP="00081CAF">
            <w:pPr>
              <w:ind w:left="1421" w:right="1554"/>
              <w:jc w:val="both"/>
            </w:pPr>
          </w:p>
          <w:p w14:paraId="392C06EF" w14:textId="13A8F01A" w:rsidR="00022D79" w:rsidRPr="00C03E9E" w:rsidRDefault="00022D79" w:rsidP="00081CAF">
            <w:pPr>
              <w:numPr>
                <w:ilvl w:val="0"/>
                <w:numId w:val="6"/>
              </w:numPr>
              <w:ind w:right="1554"/>
              <w:jc w:val="both"/>
            </w:pPr>
            <w:r>
              <w:t>October 2-4 – BioInterface Workshop and Symposium, McNamara Alumni Center, Minneapolis, MN.</w:t>
            </w:r>
          </w:p>
          <w:p w14:paraId="30178892" w14:textId="4BFC7A67" w:rsidR="003943EA" w:rsidRDefault="00494AA6" w:rsidP="00081CAF">
            <w:pPr>
              <w:numPr>
                <w:ilvl w:val="0"/>
                <w:numId w:val="6"/>
              </w:numPr>
              <w:ind w:right="1554"/>
              <w:jc w:val="both"/>
            </w:pPr>
            <w:r w:rsidRPr="00C03E9E">
              <w:t>October 16-17 – MD&amp;M Minneapolis,</w:t>
            </w:r>
            <w:r w:rsidR="00891778">
              <w:t xml:space="preserve"> Booth #2838,</w:t>
            </w:r>
            <w:r w:rsidRPr="00C03E9E">
              <w:t xml:space="preserve"> Minneapolis Convention Center, Minneapolis, MN</w:t>
            </w:r>
            <w:r w:rsidR="005C69FE">
              <w:t>.</w:t>
            </w:r>
          </w:p>
          <w:p w14:paraId="283186A9" w14:textId="77777777" w:rsidR="004E03F7" w:rsidRDefault="004E03F7" w:rsidP="00081CAF">
            <w:pPr>
              <w:ind w:right="1554"/>
              <w:jc w:val="both"/>
            </w:pPr>
          </w:p>
          <w:p w14:paraId="2FA411BF" w14:textId="77777777" w:rsidR="00523D84" w:rsidRPr="00F809F6" w:rsidRDefault="00523D84" w:rsidP="00081CAF">
            <w:pPr>
              <w:spacing w:after="150"/>
              <w:ind w:left="1421" w:right="1554"/>
              <w:jc w:val="both"/>
              <w:rPr>
                <w:rFonts w:eastAsia="Times New Roman"/>
              </w:rPr>
            </w:pPr>
            <w:r w:rsidRPr="00F809F6">
              <w:rPr>
                <w:rFonts w:eastAsia="Times New Roman"/>
                <w:b/>
                <w:bCs/>
              </w:rPr>
              <w:t>Ebatco Publishes a White Paper on Testing of Semiconductor and Microelectronic Materials</w:t>
            </w:r>
          </w:p>
          <w:p w14:paraId="0349DB04" w14:textId="6C45EB58" w:rsidR="00523D84" w:rsidRDefault="00523D84" w:rsidP="00B930E3">
            <w:pPr>
              <w:shd w:val="clear" w:color="auto" w:fill="FFFFFF"/>
              <w:ind w:left="1421" w:right="1554"/>
              <w:jc w:val="both"/>
              <w:rPr>
                <w:rFonts w:eastAsia="Times New Roman"/>
              </w:rPr>
            </w:pPr>
            <w:r w:rsidRPr="00523D84">
              <w:rPr>
                <w:rFonts w:eastAsia="Times New Roman"/>
              </w:rPr>
              <w:t>Ebatco has published a white paper on nano/micro scale analysis, characterization and testing of semiconductor and microelectronic materials. Encouraged by the Biden Administration’s CHIPS and Science Act and the booming private semiconductor manufacturing investments, Ebatco</w:t>
            </w:r>
            <w:r w:rsidR="004869A9">
              <w:rPr>
                <w:rFonts w:eastAsia="Times New Roman"/>
              </w:rPr>
              <w:t xml:space="preserve"> </w:t>
            </w:r>
            <w:r w:rsidRPr="00523D84">
              <w:rPr>
                <w:rFonts w:eastAsia="Times New Roman"/>
              </w:rPr>
              <w:t xml:space="preserve">has analyzed the testing needs of semiconductor and microelectronic industries and responded with a suite of contract lab service solutions. </w:t>
            </w:r>
            <w:r w:rsidR="00F52481">
              <w:rPr>
                <w:rFonts w:eastAsia="Times New Roman"/>
              </w:rPr>
              <w:t xml:space="preserve">Request your own </w:t>
            </w:r>
            <w:r w:rsidR="00BF41BF">
              <w:rPr>
                <w:rFonts w:eastAsia="Times New Roman"/>
              </w:rPr>
              <w:t xml:space="preserve">free </w:t>
            </w:r>
            <w:r w:rsidR="00F52481">
              <w:rPr>
                <w:rFonts w:eastAsia="Times New Roman"/>
              </w:rPr>
              <w:t xml:space="preserve">copy of the white paper at </w:t>
            </w:r>
            <w:r w:rsidR="00BC52B2" w:rsidRPr="00BC52B2">
              <w:rPr>
                <w:rFonts w:eastAsia="Times New Roman"/>
              </w:rPr>
              <w:t>info@ebatco.com</w:t>
            </w:r>
            <w:r w:rsidR="00F52481">
              <w:rPr>
                <w:rFonts w:eastAsia="Times New Roman"/>
              </w:rPr>
              <w:t>.</w:t>
            </w:r>
          </w:p>
          <w:p w14:paraId="470197DD" w14:textId="77777777" w:rsidR="00EE325C" w:rsidRPr="00457FF4" w:rsidRDefault="00EE325C" w:rsidP="00EA2AD9">
            <w:pPr>
              <w:ind w:right="1440"/>
              <w:jc w:val="both"/>
            </w:pPr>
          </w:p>
          <w:p w14:paraId="3747552D" w14:textId="47A3DD66" w:rsidR="00D30A84" w:rsidRPr="004C2881" w:rsidRDefault="00D30A84" w:rsidP="00D11FF2">
            <w:pPr>
              <w:ind w:left="1440" w:right="1555"/>
              <w:jc w:val="both"/>
              <w:rPr>
                <w:b/>
                <w:bCs/>
              </w:rPr>
            </w:pPr>
            <w:r w:rsidRPr="004C2881">
              <w:rPr>
                <w:b/>
                <w:bCs/>
              </w:rPr>
              <w:t xml:space="preserve">Ebatco </w:t>
            </w:r>
            <w:r w:rsidR="00A73481" w:rsidRPr="004C2881">
              <w:rPr>
                <w:b/>
                <w:bCs/>
              </w:rPr>
              <w:object w:dxaOrig="6375" w:dyaOrig="45" w14:anchorId="15867A4A">
                <v:shape id="_x0000_i1026" type="#_x0000_t75" style="width:318pt;height:1.2pt" o:ole="">
                  <v:imagedata r:id="rId9" o:title=""/>
                </v:shape>
                <o:OLEObject Type="Embed" ProgID="PBrush" ShapeID="_x0000_i1026" DrawAspect="Content" ObjectID="_1780812519" r:id="rId10"/>
              </w:object>
            </w:r>
          </w:p>
          <w:p w14:paraId="2F5D59BB" w14:textId="77777777" w:rsidR="0090337D" w:rsidRDefault="0090337D" w:rsidP="00741919">
            <w:pPr>
              <w:ind w:left="1422" w:right="1462"/>
              <w:jc w:val="both"/>
              <w:rPr>
                <w:rFonts w:eastAsia="Times New Roman"/>
              </w:rPr>
            </w:pPr>
          </w:p>
          <w:p w14:paraId="768815EA" w14:textId="6B815A9F" w:rsidR="0090337D" w:rsidRDefault="0090337D" w:rsidP="00081CAF">
            <w:pPr>
              <w:ind w:left="1422" w:right="1554"/>
              <w:jc w:val="both"/>
            </w:pPr>
            <w:r>
              <w:t>As we continue to grow our business, we have hired on a new talent to expand our expertise and testing lab service offerings.  Please join us in welcoming the newest addition to the Ebatco team: Dr. Lawrence Anderson, Materials Scientist.</w:t>
            </w:r>
          </w:p>
          <w:p w14:paraId="4DD2BCBF" w14:textId="77777777" w:rsidR="0090337D" w:rsidRDefault="0090337D" w:rsidP="00081CAF">
            <w:pPr>
              <w:ind w:left="1421" w:right="1554"/>
              <w:jc w:val="both"/>
            </w:pPr>
          </w:p>
          <w:p w14:paraId="7C0BB04D" w14:textId="20AB5B6C" w:rsidR="0090337D" w:rsidRDefault="0090337D" w:rsidP="00081CAF">
            <w:pPr>
              <w:ind w:left="1421" w:right="1554"/>
              <w:jc w:val="both"/>
            </w:pPr>
            <w:r>
              <w:t>Dr.</w:t>
            </w:r>
            <w:r w:rsidR="0077482F">
              <w:t xml:space="preserve"> </w:t>
            </w:r>
            <w:r>
              <w:t xml:space="preserve">Anderson received his B.S. degree in Materials Science with an emphasis in Nanotechnology from the University of California, Merced, and he received his Ph.D. in Materials Science from the University of Illinois, Urbana-Champaign in 2023. His undergraduate research focused on catalysis and polymeric nanofiber catalyst supports for low temperature, Proton Exchange Membrane Fuel Cells. His doctoral work transitioned to research on functional oxide materials that have applications in high temperature electrochemical cells (fuel cells, batteries), gas separation membranes, electronics, and chemically-driven actuators. This work largely focused on improving the understanding of structure-property relationships in perovskite oxides, with the goal of developing materials design rules to tailor chemo-mechanical responses. His undergraduate and graduate work led to his authorship in 7 peer-reviewed scientific publications. </w:t>
            </w:r>
          </w:p>
          <w:p w14:paraId="6F826C0D" w14:textId="77777777" w:rsidR="0090337D" w:rsidRDefault="0090337D" w:rsidP="0090337D">
            <w:pPr>
              <w:ind w:left="1421" w:right="1553"/>
              <w:jc w:val="both"/>
            </w:pPr>
          </w:p>
          <w:p w14:paraId="48F1E8E8" w14:textId="77777777" w:rsidR="00EA2AD9" w:rsidRDefault="0090337D" w:rsidP="00C8738C">
            <w:pPr>
              <w:ind w:left="1421" w:right="1553"/>
              <w:jc w:val="both"/>
            </w:pPr>
            <w:r>
              <w:t>Dr. Anderson will utilize his experience in linking atomic, nano, and bulk characterization results to materials properties and responses while supporting customer needs at Ebatco.</w:t>
            </w:r>
          </w:p>
          <w:p w14:paraId="6E6E6AAF" w14:textId="77777777" w:rsidR="00741919" w:rsidRDefault="00741919" w:rsidP="00C8738C">
            <w:pPr>
              <w:ind w:left="1421" w:right="1553"/>
              <w:jc w:val="both"/>
            </w:pPr>
          </w:p>
          <w:p w14:paraId="32BF715C" w14:textId="77777777" w:rsidR="00741919" w:rsidRPr="00741919" w:rsidRDefault="00741919" w:rsidP="00741919">
            <w:pPr>
              <w:ind w:left="1421" w:right="1553"/>
              <w:jc w:val="both"/>
              <w:rPr>
                <w:b/>
                <w:bCs/>
              </w:rPr>
            </w:pPr>
            <w:r w:rsidRPr="00741919">
              <w:rPr>
                <w:b/>
                <w:bCs/>
              </w:rPr>
              <w:t xml:space="preserve">New Toll-Free Number for Ebatco </w:t>
            </w:r>
          </w:p>
          <w:p w14:paraId="170AB31E" w14:textId="756C99C8" w:rsidR="00741919" w:rsidRDefault="00741919" w:rsidP="00741919">
            <w:pPr>
              <w:ind w:left="1421" w:right="1553"/>
              <w:jc w:val="both"/>
            </w:pPr>
            <w:r>
              <w:t>Because of the previous phone service provider service issues, Ebatco has to initiate a new toll-free number, 1866-832-2826 or 1866-8Ebatco to connect with you. This new toll-free number replaces the previously used toll-free number 1844-332-2826 or 1844-3Ebatco. Please update your record for us. Thank you.</w:t>
            </w:r>
          </w:p>
          <w:p w14:paraId="7D0B343B" w14:textId="77777777" w:rsidR="00EF072E" w:rsidRDefault="00EF072E" w:rsidP="004E3AF2">
            <w:pPr>
              <w:ind w:left="1440" w:right="1440"/>
              <w:jc w:val="both"/>
              <w:rPr>
                <w:b/>
                <w:bCs/>
              </w:rPr>
            </w:pPr>
          </w:p>
          <w:p w14:paraId="717EE02E" w14:textId="4031E47E" w:rsidR="00CE6D75" w:rsidRPr="004C2881" w:rsidRDefault="00D30A84" w:rsidP="00D11FF2">
            <w:pPr>
              <w:ind w:left="1440" w:right="1080"/>
              <w:jc w:val="both"/>
              <w:rPr>
                <w:b/>
                <w:bCs/>
              </w:rPr>
            </w:pPr>
            <w:r w:rsidRPr="004C2881">
              <w:rPr>
                <w:b/>
                <w:bCs/>
              </w:rPr>
              <w:t xml:space="preserve">Case Study </w:t>
            </w:r>
            <w:r w:rsidR="00A73481" w:rsidRPr="004C2881">
              <w:rPr>
                <w:b/>
                <w:bCs/>
              </w:rPr>
              <w:object w:dxaOrig="6375" w:dyaOrig="45" w14:anchorId="426FD417">
                <v:shape id="_x0000_i1027" type="#_x0000_t75" style="width:318pt;height:1.2pt" o:ole="">
                  <v:imagedata r:id="rId9" o:title=""/>
                </v:shape>
                <o:OLEObject Type="Embed" ProgID="PBrush" ShapeID="_x0000_i1027" DrawAspect="Content" ObjectID="_1780812520" r:id="rId11"/>
              </w:object>
            </w:r>
          </w:p>
          <w:p w14:paraId="4CEC2A35" w14:textId="77777777" w:rsidR="009C5AB4" w:rsidRDefault="009C5AB4" w:rsidP="009C5AB4">
            <w:pPr>
              <w:ind w:left="1422" w:right="1554"/>
              <w:jc w:val="center"/>
              <w:rPr>
                <w:rFonts w:eastAsia="Times New Roman"/>
                <w:b/>
                <w:bCs/>
                <w:szCs w:val="20"/>
              </w:rPr>
            </w:pPr>
          </w:p>
          <w:p w14:paraId="4FE613F6" w14:textId="5FEE23AA" w:rsidR="009C5AB4" w:rsidRPr="009C5AB4" w:rsidRDefault="009C5AB4" w:rsidP="009C5AB4">
            <w:pPr>
              <w:ind w:left="1422" w:right="1554"/>
              <w:jc w:val="center"/>
              <w:rPr>
                <w:rFonts w:eastAsia="Times New Roman"/>
                <w:b/>
                <w:bCs/>
                <w:szCs w:val="20"/>
              </w:rPr>
            </w:pPr>
            <w:r w:rsidRPr="009C5AB4">
              <w:rPr>
                <w:rFonts w:eastAsia="Times New Roman"/>
                <w:b/>
                <w:bCs/>
                <w:szCs w:val="20"/>
              </w:rPr>
              <w:t xml:space="preserve">Aluminum Concentrations in Deodorants Determined </w:t>
            </w:r>
            <w:r w:rsidR="00FA0282">
              <w:rPr>
                <w:rFonts w:eastAsia="Times New Roman"/>
                <w:b/>
                <w:bCs/>
                <w:szCs w:val="20"/>
              </w:rPr>
              <w:t>T</w:t>
            </w:r>
            <w:r w:rsidRPr="009C5AB4">
              <w:rPr>
                <w:rFonts w:eastAsia="Times New Roman"/>
                <w:b/>
                <w:bCs/>
                <w:szCs w:val="20"/>
              </w:rPr>
              <w:t>hrough ICP-OES</w:t>
            </w:r>
          </w:p>
          <w:p w14:paraId="489892F7" w14:textId="027A38AF" w:rsidR="009C5AB4" w:rsidRPr="009C5AB4" w:rsidRDefault="009C5AB4" w:rsidP="009C5AB4">
            <w:pPr>
              <w:ind w:left="1422" w:right="1554"/>
              <w:jc w:val="both"/>
              <w:rPr>
                <w:rFonts w:eastAsia="Times New Roman"/>
                <w:szCs w:val="20"/>
              </w:rPr>
            </w:pPr>
          </w:p>
          <w:p w14:paraId="204AFC54" w14:textId="664D2379" w:rsidR="009C5AB4" w:rsidRPr="009C5AB4" w:rsidRDefault="009C5AB4" w:rsidP="009C5AB4">
            <w:pPr>
              <w:ind w:left="1422" w:right="1554"/>
              <w:jc w:val="both"/>
              <w:rPr>
                <w:rFonts w:eastAsia="Times New Roman"/>
              </w:rPr>
            </w:pPr>
            <w:r w:rsidRPr="009C5AB4">
              <w:rPr>
                <w:rFonts w:eastAsia="Times New Roman"/>
              </w:rPr>
              <w:t>Deodorants serve as indispensable personal care products that are designed to minimize body odor by inhibiting perspiration and bacterial growth. Among the active ingredients in deodorant formulations, Al</w:t>
            </w:r>
            <w:r w:rsidRPr="009C5AB4">
              <w:rPr>
                <w:rFonts w:eastAsia="Times New Roman"/>
                <w:vertAlign w:val="superscript"/>
              </w:rPr>
              <w:t>3+</w:t>
            </w:r>
            <w:r w:rsidRPr="009C5AB4">
              <w:rPr>
                <w:rFonts w:eastAsia="Times New Roman"/>
              </w:rPr>
              <w:t xml:space="preserve"> (aluminum (III)) salt plays a key role in limiting perspiration. The antiperspirant effect occurs when Al</w:t>
            </w:r>
            <w:r w:rsidRPr="009C5AB4">
              <w:rPr>
                <w:rFonts w:eastAsia="Times New Roman"/>
                <w:vertAlign w:val="superscript"/>
              </w:rPr>
              <w:t xml:space="preserve">3+ </w:t>
            </w:r>
            <w:r w:rsidRPr="009C5AB4">
              <w:rPr>
                <w:rFonts w:eastAsia="Times New Roman"/>
              </w:rPr>
              <w:t>salt hydrolysis to form an occlusive mass to stop the flow of sweat to the skin’s surface.</w:t>
            </w:r>
          </w:p>
          <w:p w14:paraId="77BED9E2" w14:textId="1BFFD1FA" w:rsidR="009C5AB4" w:rsidRDefault="0039533F" w:rsidP="0039533F">
            <w:pPr>
              <w:ind w:left="1422" w:right="1554"/>
              <w:jc w:val="center"/>
              <w:rPr>
                <w:rFonts w:eastAsia="Times New Roman"/>
              </w:rPr>
            </w:pPr>
            <w:r>
              <w:rPr>
                <w:rFonts w:eastAsia="Times New Roman"/>
                <w:noProof/>
              </w:rPr>
              <w:drawing>
                <wp:inline distT="0" distB="0" distL="0" distR="0" wp14:anchorId="7F518F6E" wp14:editId="6216B3E2">
                  <wp:extent cx="2755900" cy="2097405"/>
                  <wp:effectExtent l="0" t="0" r="6350" b="0"/>
                  <wp:docPr id="1898525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5900" cy="2097405"/>
                          </a:xfrm>
                          <a:prstGeom prst="rect">
                            <a:avLst/>
                          </a:prstGeom>
                          <a:noFill/>
                        </pic:spPr>
                      </pic:pic>
                    </a:graphicData>
                  </a:graphic>
                </wp:inline>
              </w:drawing>
            </w:r>
          </w:p>
          <w:p w14:paraId="0FF232A4" w14:textId="77777777" w:rsidR="0039533F" w:rsidRPr="0039533F" w:rsidRDefault="0039533F" w:rsidP="0039533F">
            <w:pPr>
              <w:spacing w:after="200"/>
              <w:jc w:val="center"/>
              <w:rPr>
                <w:rFonts w:eastAsia="Times New Roman"/>
                <w:noProof/>
              </w:rPr>
            </w:pPr>
            <w:r w:rsidRPr="0039533F">
              <w:rPr>
                <w:rFonts w:eastAsia="Times New Roman"/>
              </w:rPr>
              <w:t xml:space="preserve">Figure </w:t>
            </w:r>
            <w:r w:rsidRPr="0039533F">
              <w:rPr>
                <w:rFonts w:eastAsia="Times New Roman"/>
              </w:rPr>
              <w:fldChar w:fldCharType="begin"/>
            </w:r>
            <w:r w:rsidRPr="0039533F">
              <w:rPr>
                <w:rFonts w:eastAsia="Times New Roman"/>
              </w:rPr>
              <w:instrText xml:space="preserve"> SEQ Figure \* ARABIC </w:instrText>
            </w:r>
            <w:r w:rsidRPr="0039533F">
              <w:rPr>
                <w:rFonts w:eastAsia="Times New Roman"/>
              </w:rPr>
              <w:fldChar w:fldCharType="separate"/>
            </w:r>
            <w:r w:rsidRPr="0039533F">
              <w:rPr>
                <w:rFonts w:eastAsia="Times New Roman"/>
                <w:noProof/>
              </w:rPr>
              <w:t>1</w:t>
            </w:r>
            <w:r w:rsidRPr="0039533F">
              <w:rPr>
                <w:rFonts w:eastAsia="Times New Roman"/>
              </w:rPr>
              <w:fldChar w:fldCharType="end"/>
            </w:r>
            <w:r w:rsidRPr="0039533F">
              <w:rPr>
                <w:rFonts w:eastAsia="Times New Roman"/>
              </w:rPr>
              <w:t>. Visualization of deodorant application.</w:t>
            </w:r>
          </w:p>
          <w:p w14:paraId="6FB9BC38" w14:textId="2339B421" w:rsidR="009C5AB4" w:rsidRPr="009C5AB4" w:rsidRDefault="009C5AB4" w:rsidP="009C5AB4">
            <w:pPr>
              <w:ind w:left="1422" w:right="1554"/>
              <w:jc w:val="both"/>
              <w:rPr>
                <w:rFonts w:eastAsia="Times New Roman"/>
              </w:rPr>
            </w:pPr>
            <w:r w:rsidRPr="009C5AB4">
              <w:rPr>
                <w:rFonts w:eastAsia="Times New Roman"/>
              </w:rPr>
              <w:t>However, concerns have been raised regarding some potential adverse effects of aluminum on skin health, including irritation and allergic reactions. As a result, the precise determination of elemental concentrations in deodorants, especially for aluminum, becomes very important in order to ensure both product efficacy and product safety for consumers.</w:t>
            </w:r>
          </w:p>
          <w:p w14:paraId="437699C5" w14:textId="77777777" w:rsidR="009C5AB4" w:rsidRPr="009C5AB4" w:rsidRDefault="009C5AB4" w:rsidP="009C5AB4">
            <w:pPr>
              <w:ind w:left="1422" w:right="1554"/>
              <w:jc w:val="both"/>
              <w:rPr>
                <w:rFonts w:eastAsia="Times New Roman"/>
              </w:rPr>
            </w:pPr>
          </w:p>
          <w:p w14:paraId="37F5E3EC" w14:textId="27D072D2" w:rsidR="009C5AB4" w:rsidRPr="009C5AB4" w:rsidRDefault="009C5AB4" w:rsidP="009C5AB4">
            <w:pPr>
              <w:ind w:left="1422" w:right="1554"/>
              <w:jc w:val="both"/>
              <w:rPr>
                <w:rFonts w:eastAsia="Times New Roman"/>
              </w:rPr>
            </w:pPr>
            <w:r w:rsidRPr="009C5AB4">
              <w:rPr>
                <w:rFonts w:eastAsia="Times New Roman"/>
              </w:rPr>
              <w:t xml:space="preserve">In this study, elemental concentrations of three distinct deodorant samples were analyzed utilizing Inductively Coupled Plasma Optical Emission Spectroscopy (ICP-OES) at Ebatco. ICP-OES enables simultaneous detection and quantification of numerous elements with high precision and sensitivity, offering a comprehensive assessment of elemental composition in complex matrices. This study was aimed to provide some insights into the elemental compositions of deodorant formulations currently available on the commercial market, particularly on aluminum concentrations. </w:t>
            </w:r>
          </w:p>
          <w:p w14:paraId="6F35A7E7" w14:textId="77777777" w:rsidR="009C5AB4" w:rsidRPr="009C5AB4" w:rsidRDefault="009C5AB4" w:rsidP="009C5AB4">
            <w:pPr>
              <w:ind w:left="1422" w:right="1554"/>
              <w:jc w:val="both"/>
              <w:rPr>
                <w:rFonts w:eastAsia="Times New Roman"/>
              </w:rPr>
            </w:pPr>
          </w:p>
          <w:p w14:paraId="78773A95" w14:textId="77777777" w:rsidR="009C5AB4" w:rsidRPr="009C5AB4" w:rsidRDefault="009C5AB4" w:rsidP="009C5AB4">
            <w:pPr>
              <w:ind w:left="1422" w:right="1554"/>
              <w:jc w:val="both"/>
              <w:rPr>
                <w:rFonts w:eastAsia="Times New Roman"/>
                <w:noProof/>
                <w:szCs w:val="20"/>
              </w:rPr>
            </w:pPr>
            <w:r w:rsidRPr="009C5AB4">
              <w:rPr>
                <w:rFonts w:eastAsia="Times New Roman"/>
              </w:rPr>
              <w:t>Three commercially available deodorant samples were selected and purchased from stores for elemental analysis. Each sample, including a spiked matrix sample and a method blank, underwent acid digestion to solubilize its components prior to analysis on an ICP-OES instrument. Deodorant #1 and Deodorant #2 were labeled with no aluminum as an ingredient while Deodorant #3 had aluminum listed in its ingredient list.</w:t>
            </w:r>
            <w:r w:rsidRPr="009C5AB4">
              <w:rPr>
                <w:rFonts w:eastAsia="Times New Roman"/>
                <w:noProof/>
                <w:szCs w:val="20"/>
              </w:rPr>
              <w:t xml:space="preserve"> </w:t>
            </w:r>
          </w:p>
          <w:p w14:paraId="110F551A" w14:textId="77777777" w:rsidR="009C5AB4" w:rsidRPr="009C5AB4" w:rsidRDefault="009C5AB4" w:rsidP="009C5AB4">
            <w:pPr>
              <w:ind w:left="1422" w:right="1554"/>
              <w:jc w:val="both"/>
              <w:rPr>
                <w:rFonts w:eastAsia="Times New Roman"/>
                <w:noProof/>
                <w:szCs w:val="20"/>
              </w:rPr>
            </w:pPr>
          </w:p>
          <w:p w14:paraId="14407A60" w14:textId="77777777" w:rsidR="009C5AB4" w:rsidRDefault="009C5AB4" w:rsidP="009C5AB4">
            <w:pPr>
              <w:ind w:left="1422" w:right="1554"/>
              <w:jc w:val="both"/>
              <w:rPr>
                <w:rFonts w:eastAsia="Times New Roman"/>
                <w:noProof/>
                <w:szCs w:val="20"/>
              </w:rPr>
            </w:pPr>
            <w:r w:rsidRPr="009C5AB4">
              <w:rPr>
                <w:rFonts w:eastAsia="Times New Roman"/>
                <w:noProof/>
                <w:szCs w:val="20"/>
              </w:rPr>
              <w:t>A matrix spike was added to deodorant #1 at 30 ppm and the recovery was found to be within the acceptable range of ±20%. Additionally, a method blank was run to show the instrument was running efficiently and the process had no residual cross contamination between samples.</w:t>
            </w:r>
          </w:p>
          <w:p w14:paraId="00E81DD9" w14:textId="77777777" w:rsidR="007A56AD" w:rsidRDefault="007A56AD" w:rsidP="009C5AB4">
            <w:pPr>
              <w:ind w:left="1422" w:right="1554"/>
              <w:jc w:val="both"/>
              <w:rPr>
                <w:rFonts w:eastAsia="Times New Roman"/>
                <w:noProof/>
                <w:szCs w:val="20"/>
              </w:rPr>
            </w:pPr>
          </w:p>
          <w:p w14:paraId="696C2F20" w14:textId="42539BF8" w:rsidR="007A56AD" w:rsidRDefault="007A56AD" w:rsidP="007A56AD">
            <w:pPr>
              <w:ind w:left="1422" w:right="1554"/>
              <w:jc w:val="center"/>
            </w:pPr>
            <w:r w:rsidRPr="00CC35CD">
              <w:t xml:space="preserve">Table </w:t>
            </w:r>
            <w:r>
              <w:t>1</w:t>
            </w:r>
            <w:r w:rsidRPr="00CC35CD">
              <w:t xml:space="preserve"> Elemental Concentration</w:t>
            </w:r>
            <w:r>
              <w:t xml:space="preserve">s </w:t>
            </w:r>
            <w:r w:rsidRPr="00CC35CD">
              <w:t xml:space="preserve">of </w:t>
            </w:r>
            <w:r>
              <w:t xml:space="preserve">Commercial </w:t>
            </w:r>
            <w:r w:rsidRPr="00A45161">
              <w:t>Deodorant</w:t>
            </w:r>
            <w:r w:rsidRPr="00CC35CD">
              <w:t xml:space="preserve"> Sam</w:t>
            </w:r>
            <w:r>
              <w:t>ples</w:t>
            </w:r>
          </w:p>
          <w:p w14:paraId="3C77286F" w14:textId="2A01B447" w:rsidR="00F562D1" w:rsidRDefault="00BE6A45" w:rsidP="007A56AD">
            <w:pPr>
              <w:ind w:left="1422" w:right="1554"/>
              <w:jc w:val="center"/>
            </w:pPr>
            <w:r>
              <w:rPr>
                <w:noProof/>
              </w:rPr>
              <mc:AlternateContent>
                <mc:Choice Requires="wps">
                  <w:drawing>
                    <wp:anchor distT="0" distB="0" distL="114300" distR="114300" simplePos="0" relativeHeight="251659264" behindDoc="0" locked="0" layoutInCell="1" allowOverlap="1" wp14:anchorId="1E6DC1CA" wp14:editId="0E45372B">
                      <wp:simplePos x="0" y="0"/>
                      <wp:positionH relativeFrom="column">
                        <wp:posOffset>2045970</wp:posOffset>
                      </wp:positionH>
                      <wp:positionV relativeFrom="paragraph">
                        <wp:posOffset>186055</wp:posOffset>
                      </wp:positionV>
                      <wp:extent cx="975360" cy="937260"/>
                      <wp:effectExtent l="0" t="0" r="34290" b="34290"/>
                      <wp:wrapNone/>
                      <wp:docPr id="794356976" name="Straight Connector 5"/>
                      <wp:cNvGraphicFramePr/>
                      <a:graphic xmlns:a="http://schemas.openxmlformats.org/drawingml/2006/main">
                        <a:graphicData uri="http://schemas.microsoft.com/office/word/2010/wordprocessingShape">
                          <wps:wsp>
                            <wps:cNvCnPr/>
                            <wps:spPr>
                              <a:xfrm>
                                <a:off x="0" y="0"/>
                                <a:ext cx="975360" cy="937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A8D0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14.65pt" to="237.9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" strokecolor="black [3040]"/>
                  </w:pict>
                </mc:Fallback>
              </mc:AlternateContent>
            </w:r>
          </w:p>
          <w:p w14:paraId="2918C400" w14:textId="1D2AAEC8" w:rsidR="00F562D1" w:rsidRPr="009C5AB4" w:rsidRDefault="00F562D1" w:rsidP="007A56AD">
            <w:pPr>
              <w:ind w:left="1422" w:right="1554"/>
              <w:jc w:val="center"/>
              <w:rPr>
                <w:rFonts w:eastAsia="Times New Roman"/>
                <w:noProof/>
                <w:szCs w:val="20"/>
              </w:rPr>
            </w:pPr>
            <w:r w:rsidRPr="00F562D1">
              <w:rPr>
                <w:rFonts w:eastAsia="Times New Roman"/>
                <w:noProof/>
                <w:szCs w:val="20"/>
              </w:rPr>
              <w:drawing>
                <wp:inline distT="0" distB="0" distL="0" distR="0" wp14:anchorId="51DC7FFA" wp14:editId="55FB56D7">
                  <wp:extent cx="6181090" cy="3477893"/>
                  <wp:effectExtent l="0" t="0" r="0" b="0"/>
                  <wp:docPr id="298451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9475" cy="3482611"/>
                          </a:xfrm>
                          <a:prstGeom prst="rect">
                            <a:avLst/>
                          </a:prstGeom>
                          <a:noFill/>
                          <a:ln>
                            <a:noFill/>
                          </a:ln>
                        </pic:spPr>
                      </pic:pic>
                    </a:graphicData>
                  </a:graphic>
                </wp:inline>
              </w:drawing>
            </w:r>
          </w:p>
          <w:p w14:paraId="693EDCD0" w14:textId="4354230B" w:rsidR="007A56AD" w:rsidRDefault="00081CAF" w:rsidP="00F562D1">
            <w:pPr>
              <w:ind w:right="1554" w:firstLine="3582"/>
            </w:pPr>
            <w:r>
              <w:t>*Optical emission wavelength used for the elemental concentration analysis in ICP-OES</w:t>
            </w:r>
          </w:p>
          <w:p w14:paraId="686FB2E7" w14:textId="77777777" w:rsidR="00081CAF" w:rsidRDefault="00081CAF" w:rsidP="00081CAF">
            <w:pPr>
              <w:ind w:left="2142" w:right="1554"/>
              <w:jc w:val="center"/>
            </w:pPr>
          </w:p>
          <w:p w14:paraId="598A36AB" w14:textId="77777777" w:rsidR="00081CAF" w:rsidRDefault="00081CAF" w:rsidP="00FA0282">
            <w:pPr>
              <w:ind w:left="1422" w:right="1554"/>
              <w:jc w:val="both"/>
            </w:pPr>
            <w:r w:rsidRPr="00043F4B">
              <w:t xml:space="preserve">The </w:t>
            </w:r>
            <w:r>
              <w:t xml:space="preserve">results of the </w:t>
            </w:r>
            <w:r w:rsidRPr="00043F4B">
              <w:t xml:space="preserve">elemental analysis </w:t>
            </w:r>
            <w:r>
              <w:t xml:space="preserve">for the deodorant samples were summarized in Table 1. As can be seen from Table 1, </w:t>
            </w:r>
            <w:r w:rsidRPr="00043F4B">
              <w:t xml:space="preserve">varying concentrations of aluminum </w:t>
            </w:r>
            <w:r>
              <w:t>along with the concentrations of a few other elements were measured through ICP-OES at the selected specific optical emission wavelength for the elements</w:t>
            </w:r>
            <w:r w:rsidRPr="00043F4B">
              <w:t>. While aluminum content</w:t>
            </w:r>
            <w:r>
              <w:t>s</w:t>
            </w:r>
            <w:r w:rsidRPr="00043F4B">
              <w:t xml:space="preserve"> w</w:t>
            </w:r>
            <w:r>
              <w:t>ere</w:t>
            </w:r>
            <w:r w:rsidRPr="00043F4B">
              <w:t xml:space="preserve"> within permissible limits in accordance with regulatory guidelines, notable differences were observed among the samples. </w:t>
            </w:r>
            <w:r>
              <w:t xml:space="preserve">Deodorants #1 and #2 were found to possess less than 0.1 ppm aluminum, while Deodorant #3 contained over 122 ppm aluminum. </w:t>
            </w:r>
            <w:r w:rsidRPr="00043F4B">
              <w:t xml:space="preserve">These findings underscore the </w:t>
            </w:r>
            <w:r>
              <w:t>significance</w:t>
            </w:r>
            <w:r w:rsidRPr="00043F4B">
              <w:t xml:space="preserve"> of meticulous monitoring of elemental composition during deodorant production</w:t>
            </w:r>
            <w:r>
              <w:t xml:space="preserve"> as well as consumer awareness of ingredient labeling in order to mitigate potential health concerns</w:t>
            </w:r>
            <w:r w:rsidRPr="00043F4B">
              <w:t>.</w:t>
            </w:r>
          </w:p>
          <w:p w14:paraId="26603509" w14:textId="77777777" w:rsidR="00081CAF" w:rsidRDefault="00081CAF" w:rsidP="00FA0282">
            <w:pPr>
              <w:ind w:left="1422" w:right="1554"/>
              <w:jc w:val="both"/>
            </w:pPr>
          </w:p>
          <w:p w14:paraId="53DF57DC" w14:textId="77777777" w:rsidR="00081CAF" w:rsidRPr="00F1250D" w:rsidRDefault="00081CAF" w:rsidP="00FA0282">
            <w:pPr>
              <w:ind w:left="1422" w:right="1554"/>
              <w:jc w:val="both"/>
            </w:pPr>
            <w:r>
              <w:t>T</w:t>
            </w:r>
            <w:r w:rsidRPr="000A7D7D">
              <w:t xml:space="preserve">o ensure </w:t>
            </w:r>
            <w:r>
              <w:t xml:space="preserve">ultimate </w:t>
            </w:r>
            <w:r w:rsidRPr="000A7D7D">
              <w:t>consumer well-being</w:t>
            </w:r>
            <w:r>
              <w:t>,</w:t>
            </w:r>
            <w:r w:rsidRPr="000A7D7D">
              <w:t xml:space="preserve"> </w:t>
            </w:r>
            <w:r>
              <w:t>c</w:t>
            </w:r>
            <w:r w:rsidRPr="00043F4B">
              <w:t>ontinu</w:t>
            </w:r>
            <w:r>
              <w:t>ing</w:t>
            </w:r>
            <w:r w:rsidRPr="00043F4B">
              <w:t xml:space="preserve"> research efforts to further assess the safety profile</w:t>
            </w:r>
            <w:r>
              <w:t>s</w:t>
            </w:r>
            <w:r w:rsidRPr="00043F4B">
              <w:t xml:space="preserve"> of deodorants and refine manufacturing practices</w:t>
            </w:r>
            <w:r>
              <w:t xml:space="preserve"> </w:t>
            </w:r>
            <w:r w:rsidRPr="000A7D7D">
              <w:t>are warranted</w:t>
            </w:r>
            <w:r w:rsidRPr="00043F4B">
              <w:t>.</w:t>
            </w:r>
            <w:r>
              <w:t xml:space="preserve"> </w:t>
            </w:r>
            <w:r>
              <w:rPr>
                <w:noProof/>
              </w:rPr>
              <w:t xml:space="preserve">ICP-OES tehnicque is capable of reliably discerning concentrations of elements to a high degree of certainty and thus provides a dependable measure for deororant quality control. </w:t>
            </w:r>
            <w:r>
              <w:t xml:space="preserve">Similarly, </w:t>
            </w:r>
            <w:r>
              <w:rPr>
                <w:noProof/>
              </w:rPr>
              <w:t xml:space="preserve">ICP-OES could be very useful in quantifying the elemental compositions of many other health, beauty, food, and pharmaceutical products where trace elements and ingridents are of significance. </w:t>
            </w:r>
          </w:p>
          <w:p w14:paraId="60D2D121" w14:textId="77777777" w:rsidR="009C5AB4" w:rsidRDefault="009C5AB4" w:rsidP="00081CAF">
            <w:pPr>
              <w:ind w:right="1440"/>
              <w:rPr>
                <w:noProof/>
              </w:rPr>
            </w:pPr>
          </w:p>
          <w:p w14:paraId="25479E2F" w14:textId="7B615A51"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5" w:history="1">
              <w:r w:rsidRPr="00457FF4">
                <w:t>info@ebatco.com</w:t>
              </w:r>
            </w:hyperlink>
            <w:r>
              <w:t>.</w:t>
            </w:r>
          </w:p>
          <w:p w14:paraId="6BF7A69E" w14:textId="77777777" w:rsidR="00D30A84" w:rsidRPr="00457FF4" w:rsidRDefault="00926266" w:rsidP="00B80786">
            <w:pPr>
              <w:ind w:left="1440" w:right="1440"/>
              <w:jc w:val="center"/>
            </w:pPr>
            <w:r w:rsidRPr="00457FF4">
              <w:rPr>
                <w:noProof/>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Pr="00457FF4" w:rsidRDefault="00D30A84" w:rsidP="00B80786">
            <w:pPr>
              <w:ind w:left="1440" w:right="1440"/>
              <w:jc w:val="center"/>
            </w:pPr>
          </w:p>
          <w:p w14:paraId="5BD6CF47" w14:textId="76A3E2A0" w:rsidR="00D30A84" w:rsidRPr="00457FF4" w:rsidRDefault="00D30A84" w:rsidP="00B80786">
            <w:pPr>
              <w:ind w:left="1440" w:right="1440"/>
              <w:jc w:val="center"/>
            </w:pPr>
            <w:r w:rsidRPr="00457FF4">
              <w:t xml:space="preserve">Ebatco, </w:t>
            </w:r>
            <w:r w:rsidR="00F65E7C" w:rsidRPr="00457FF4">
              <w:t>10025 Valley View</w:t>
            </w:r>
            <w:r w:rsidRPr="00457FF4">
              <w:t xml:space="preserve"> Road,</w:t>
            </w:r>
            <w:r w:rsidR="00F65E7C" w:rsidRPr="00457FF4">
              <w:t xml:space="preserve"> Suite 150,</w:t>
            </w:r>
            <w:r w:rsidRPr="00457FF4">
              <w:t xml:space="preserve"> Eden Prairie, MN 55344</w:t>
            </w:r>
            <w:r w:rsidR="0060496B">
              <w:t>, USA</w:t>
            </w:r>
          </w:p>
          <w:p w14:paraId="5ADABEF1" w14:textId="77777777" w:rsidR="00D30A84" w:rsidRPr="00457FF4" w:rsidRDefault="00D30A84" w:rsidP="00B80786">
            <w:pPr>
              <w:ind w:left="1440" w:right="1440"/>
              <w:jc w:val="center"/>
            </w:pPr>
            <w:r w:rsidRPr="00457FF4">
              <w:t xml:space="preserve">+1 952 746 8086 | </w:t>
            </w:r>
            <w:hyperlink r:id="rId16" w:history="1">
              <w:r w:rsidRPr="00457FF4">
                <w:t>info@ebatco.com</w:t>
              </w:r>
            </w:hyperlink>
            <w:r w:rsidRPr="00457FF4">
              <w:t xml:space="preserve"> | </w:t>
            </w:r>
            <w:hyperlink r:id="rId17" w:history="1">
              <w:r w:rsidRPr="00457FF4">
                <w:t>www.ebatco.com</w:t>
              </w:r>
            </w:hyperlink>
          </w:p>
        </w:tc>
      </w:tr>
      <w:tr w:rsidR="00D30A84" w14:paraId="19E7157F" w14:textId="77777777" w:rsidTr="0039533F">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8" w15:restartNumberingAfterBreak="0">
    <w:nsid w:val="6E545BE9"/>
    <w:multiLevelType w:val="hybridMultilevel"/>
    <w:tmpl w:val="CB086A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1"/>
  </w:num>
  <w:num w:numId="2" w16cid:durableId="782455598">
    <w:abstractNumId w:val="7"/>
  </w:num>
  <w:num w:numId="3" w16cid:durableId="1315645184">
    <w:abstractNumId w:val="9"/>
  </w:num>
  <w:num w:numId="4" w16cid:durableId="898830744">
    <w:abstractNumId w:val="4"/>
  </w:num>
  <w:num w:numId="5" w16cid:durableId="1421675909">
    <w:abstractNumId w:val="6"/>
  </w:num>
  <w:num w:numId="6" w16cid:durableId="1697729935">
    <w:abstractNumId w:val="8"/>
  </w:num>
  <w:num w:numId="7" w16cid:durableId="598414602">
    <w:abstractNumId w:val="10"/>
  </w:num>
  <w:num w:numId="8" w16cid:durableId="1904950834">
    <w:abstractNumId w:val="3"/>
  </w:num>
  <w:num w:numId="9" w16cid:durableId="464474629">
    <w:abstractNumId w:val="2"/>
  </w:num>
  <w:num w:numId="10" w16cid:durableId="25449895">
    <w:abstractNumId w:val="0"/>
  </w:num>
  <w:num w:numId="11" w16cid:durableId="156649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2D79"/>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1D05"/>
    <w:rsid w:val="000623AD"/>
    <w:rsid w:val="000636D9"/>
    <w:rsid w:val="000640FA"/>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1CAF"/>
    <w:rsid w:val="00082421"/>
    <w:rsid w:val="0008261D"/>
    <w:rsid w:val="00083762"/>
    <w:rsid w:val="00083E30"/>
    <w:rsid w:val="000861C6"/>
    <w:rsid w:val="00087706"/>
    <w:rsid w:val="00087E60"/>
    <w:rsid w:val="00093C86"/>
    <w:rsid w:val="00093E1D"/>
    <w:rsid w:val="000A0EE7"/>
    <w:rsid w:val="000A1264"/>
    <w:rsid w:val="000A1AF4"/>
    <w:rsid w:val="000A1BDE"/>
    <w:rsid w:val="000A2381"/>
    <w:rsid w:val="000A3A1C"/>
    <w:rsid w:val="000A4552"/>
    <w:rsid w:val="000A55AA"/>
    <w:rsid w:val="000A6EDE"/>
    <w:rsid w:val="000A6FF4"/>
    <w:rsid w:val="000A72D1"/>
    <w:rsid w:val="000A7F9C"/>
    <w:rsid w:val="000B07CB"/>
    <w:rsid w:val="000B154E"/>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51D8"/>
    <w:rsid w:val="000D7015"/>
    <w:rsid w:val="000E0E4F"/>
    <w:rsid w:val="000E146E"/>
    <w:rsid w:val="000E1D80"/>
    <w:rsid w:val="000E24CF"/>
    <w:rsid w:val="000E26F0"/>
    <w:rsid w:val="000E30EB"/>
    <w:rsid w:val="000E31F3"/>
    <w:rsid w:val="000E5F06"/>
    <w:rsid w:val="000E6990"/>
    <w:rsid w:val="000F00AB"/>
    <w:rsid w:val="000F0748"/>
    <w:rsid w:val="000F17C2"/>
    <w:rsid w:val="000F2FA2"/>
    <w:rsid w:val="000F34AD"/>
    <w:rsid w:val="000F3793"/>
    <w:rsid w:val="000F4A09"/>
    <w:rsid w:val="000F54E5"/>
    <w:rsid w:val="000F587B"/>
    <w:rsid w:val="000F5C2A"/>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7775B"/>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206"/>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5B9E"/>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3BA"/>
    <w:rsid w:val="002335E7"/>
    <w:rsid w:val="00233FEB"/>
    <w:rsid w:val="002340F4"/>
    <w:rsid w:val="00234137"/>
    <w:rsid w:val="0023414B"/>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1E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767"/>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4CDC"/>
    <w:rsid w:val="0032542A"/>
    <w:rsid w:val="0033063D"/>
    <w:rsid w:val="003318FE"/>
    <w:rsid w:val="0033295D"/>
    <w:rsid w:val="0033312F"/>
    <w:rsid w:val="00334B75"/>
    <w:rsid w:val="00334BCD"/>
    <w:rsid w:val="00334F39"/>
    <w:rsid w:val="003356FF"/>
    <w:rsid w:val="003357C5"/>
    <w:rsid w:val="00335AD3"/>
    <w:rsid w:val="00335C2F"/>
    <w:rsid w:val="003364E6"/>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667"/>
    <w:rsid w:val="003848C5"/>
    <w:rsid w:val="00385FA2"/>
    <w:rsid w:val="003869F0"/>
    <w:rsid w:val="003870D9"/>
    <w:rsid w:val="00390C80"/>
    <w:rsid w:val="00393050"/>
    <w:rsid w:val="0039353A"/>
    <w:rsid w:val="00393A9C"/>
    <w:rsid w:val="00393FFE"/>
    <w:rsid w:val="00394287"/>
    <w:rsid w:val="003943EA"/>
    <w:rsid w:val="0039533F"/>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160D"/>
    <w:rsid w:val="003F263D"/>
    <w:rsid w:val="003F2D14"/>
    <w:rsid w:val="003F4E5D"/>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477"/>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077"/>
    <w:rsid w:val="004276AF"/>
    <w:rsid w:val="00427C37"/>
    <w:rsid w:val="004302ED"/>
    <w:rsid w:val="0043054E"/>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57FF4"/>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9A9"/>
    <w:rsid w:val="00486BC7"/>
    <w:rsid w:val="004870B8"/>
    <w:rsid w:val="00487F7C"/>
    <w:rsid w:val="00490CA4"/>
    <w:rsid w:val="00494AA6"/>
    <w:rsid w:val="00496FE5"/>
    <w:rsid w:val="00497337"/>
    <w:rsid w:val="004A060F"/>
    <w:rsid w:val="004A1424"/>
    <w:rsid w:val="004A4AF7"/>
    <w:rsid w:val="004A4EF1"/>
    <w:rsid w:val="004A69B7"/>
    <w:rsid w:val="004A7F45"/>
    <w:rsid w:val="004B17AD"/>
    <w:rsid w:val="004B1AA5"/>
    <w:rsid w:val="004B58AF"/>
    <w:rsid w:val="004B60ED"/>
    <w:rsid w:val="004B76C9"/>
    <w:rsid w:val="004C13C9"/>
    <w:rsid w:val="004C1630"/>
    <w:rsid w:val="004C2578"/>
    <w:rsid w:val="004C261D"/>
    <w:rsid w:val="004C2881"/>
    <w:rsid w:val="004C3D8B"/>
    <w:rsid w:val="004C4AFA"/>
    <w:rsid w:val="004C6D7A"/>
    <w:rsid w:val="004C7432"/>
    <w:rsid w:val="004C7D2B"/>
    <w:rsid w:val="004D0092"/>
    <w:rsid w:val="004D0A50"/>
    <w:rsid w:val="004D186D"/>
    <w:rsid w:val="004D3496"/>
    <w:rsid w:val="004D4CAC"/>
    <w:rsid w:val="004D5D0E"/>
    <w:rsid w:val="004D71F4"/>
    <w:rsid w:val="004D7702"/>
    <w:rsid w:val="004E01F3"/>
    <w:rsid w:val="004E03F7"/>
    <w:rsid w:val="004E38AB"/>
    <w:rsid w:val="004E3AF2"/>
    <w:rsid w:val="004E4A0F"/>
    <w:rsid w:val="004E4E91"/>
    <w:rsid w:val="004E5158"/>
    <w:rsid w:val="004E5B40"/>
    <w:rsid w:val="004E6956"/>
    <w:rsid w:val="004E6B4A"/>
    <w:rsid w:val="004E7130"/>
    <w:rsid w:val="004F0522"/>
    <w:rsid w:val="004F0552"/>
    <w:rsid w:val="004F1708"/>
    <w:rsid w:val="004F1D5D"/>
    <w:rsid w:val="004F2B7A"/>
    <w:rsid w:val="004F2D26"/>
    <w:rsid w:val="004F3078"/>
    <w:rsid w:val="004F34B2"/>
    <w:rsid w:val="004F410B"/>
    <w:rsid w:val="004F59C9"/>
    <w:rsid w:val="004F5C20"/>
    <w:rsid w:val="004F79D1"/>
    <w:rsid w:val="00501CF5"/>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3D84"/>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6569"/>
    <w:rsid w:val="0054673C"/>
    <w:rsid w:val="00547C3E"/>
    <w:rsid w:val="00551E00"/>
    <w:rsid w:val="00555D24"/>
    <w:rsid w:val="00557DF1"/>
    <w:rsid w:val="00557E54"/>
    <w:rsid w:val="005602F4"/>
    <w:rsid w:val="0056113A"/>
    <w:rsid w:val="0056164C"/>
    <w:rsid w:val="005627C0"/>
    <w:rsid w:val="00562FD2"/>
    <w:rsid w:val="00563D0F"/>
    <w:rsid w:val="0056431A"/>
    <w:rsid w:val="005645A9"/>
    <w:rsid w:val="00564D7A"/>
    <w:rsid w:val="0056553F"/>
    <w:rsid w:val="005669A2"/>
    <w:rsid w:val="00567234"/>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452C"/>
    <w:rsid w:val="005961B5"/>
    <w:rsid w:val="005979A0"/>
    <w:rsid w:val="005A0772"/>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9FE"/>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CDE"/>
    <w:rsid w:val="005E6F7F"/>
    <w:rsid w:val="005E741D"/>
    <w:rsid w:val="005F02B2"/>
    <w:rsid w:val="005F02BB"/>
    <w:rsid w:val="005F21DC"/>
    <w:rsid w:val="005F4DA1"/>
    <w:rsid w:val="005F5018"/>
    <w:rsid w:val="005F58DA"/>
    <w:rsid w:val="005F6871"/>
    <w:rsid w:val="00600AA0"/>
    <w:rsid w:val="00602AAC"/>
    <w:rsid w:val="0060307D"/>
    <w:rsid w:val="006032B8"/>
    <w:rsid w:val="0060348A"/>
    <w:rsid w:val="0060405E"/>
    <w:rsid w:val="0060496B"/>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42D0"/>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0DF9"/>
    <w:rsid w:val="006A68D8"/>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369D"/>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883"/>
    <w:rsid w:val="007279A4"/>
    <w:rsid w:val="007305DF"/>
    <w:rsid w:val="00730630"/>
    <w:rsid w:val="00730E20"/>
    <w:rsid w:val="00731787"/>
    <w:rsid w:val="0073256D"/>
    <w:rsid w:val="00732F22"/>
    <w:rsid w:val="00734A9A"/>
    <w:rsid w:val="007350E4"/>
    <w:rsid w:val="007376A2"/>
    <w:rsid w:val="00740261"/>
    <w:rsid w:val="00741919"/>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16C8"/>
    <w:rsid w:val="007630FF"/>
    <w:rsid w:val="007635B9"/>
    <w:rsid w:val="00763C8D"/>
    <w:rsid w:val="00765D6B"/>
    <w:rsid w:val="00766E9B"/>
    <w:rsid w:val="00770CDA"/>
    <w:rsid w:val="00770D4B"/>
    <w:rsid w:val="007721B4"/>
    <w:rsid w:val="0077243A"/>
    <w:rsid w:val="0077350C"/>
    <w:rsid w:val="00773858"/>
    <w:rsid w:val="0077482F"/>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229F"/>
    <w:rsid w:val="007A3C27"/>
    <w:rsid w:val="007A4331"/>
    <w:rsid w:val="007A56AD"/>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8B0"/>
    <w:rsid w:val="00807B09"/>
    <w:rsid w:val="00807E85"/>
    <w:rsid w:val="00810109"/>
    <w:rsid w:val="008114CE"/>
    <w:rsid w:val="00814151"/>
    <w:rsid w:val="00821C4D"/>
    <w:rsid w:val="008271E0"/>
    <w:rsid w:val="008304AC"/>
    <w:rsid w:val="00834FD0"/>
    <w:rsid w:val="008354B9"/>
    <w:rsid w:val="00835528"/>
    <w:rsid w:val="008376F9"/>
    <w:rsid w:val="00837D7C"/>
    <w:rsid w:val="00837D8A"/>
    <w:rsid w:val="008402D1"/>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1778"/>
    <w:rsid w:val="0089297D"/>
    <w:rsid w:val="00892F74"/>
    <w:rsid w:val="0089474D"/>
    <w:rsid w:val="008956CB"/>
    <w:rsid w:val="008969C1"/>
    <w:rsid w:val="00897411"/>
    <w:rsid w:val="008A00CD"/>
    <w:rsid w:val="008A05F2"/>
    <w:rsid w:val="008A1EE0"/>
    <w:rsid w:val="008A21E5"/>
    <w:rsid w:val="008A2472"/>
    <w:rsid w:val="008A2969"/>
    <w:rsid w:val="008A50A3"/>
    <w:rsid w:val="008A5511"/>
    <w:rsid w:val="008A60D0"/>
    <w:rsid w:val="008A6A6C"/>
    <w:rsid w:val="008A6D1A"/>
    <w:rsid w:val="008B37D6"/>
    <w:rsid w:val="008B4887"/>
    <w:rsid w:val="008B556B"/>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3C4F"/>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8F73C1"/>
    <w:rsid w:val="0090337D"/>
    <w:rsid w:val="00903BBD"/>
    <w:rsid w:val="00903C1F"/>
    <w:rsid w:val="00905F0C"/>
    <w:rsid w:val="00911233"/>
    <w:rsid w:val="00912140"/>
    <w:rsid w:val="00912A41"/>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06A"/>
    <w:rsid w:val="009573A9"/>
    <w:rsid w:val="0096021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3987"/>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0FAD"/>
    <w:rsid w:val="009C25EC"/>
    <w:rsid w:val="009C5AB4"/>
    <w:rsid w:val="009C61E3"/>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A15"/>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4F4"/>
    <w:rsid w:val="00A27C44"/>
    <w:rsid w:val="00A31C1F"/>
    <w:rsid w:val="00A3233F"/>
    <w:rsid w:val="00A3294B"/>
    <w:rsid w:val="00A32D5B"/>
    <w:rsid w:val="00A332B4"/>
    <w:rsid w:val="00A33E10"/>
    <w:rsid w:val="00A34474"/>
    <w:rsid w:val="00A355C7"/>
    <w:rsid w:val="00A36B0D"/>
    <w:rsid w:val="00A36F7A"/>
    <w:rsid w:val="00A37D08"/>
    <w:rsid w:val="00A40FC7"/>
    <w:rsid w:val="00A417E5"/>
    <w:rsid w:val="00A442A5"/>
    <w:rsid w:val="00A4718F"/>
    <w:rsid w:val="00A51651"/>
    <w:rsid w:val="00A51B21"/>
    <w:rsid w:val="00A525FC"/>
    <w:rsid w:val="00A52FB9"/>
    <w:rsid w:val="00A53666"/>
    <w:rsid w:val="00A554FF"/>
    <w:rsid w:val="00A55EC1"/>
    <w:rsid w:val="00A56158"/>
    <w:rsid w:val="00A60578"/>
    <w:rsid w:val="00A60B42"/>
    <w:rsid w:val="00A61264"/>
    <w:rsid w:val="00A615A4"/>
    <w:rsid w:val="00A6352B"/>
    <w:rsid w:val="00A636B3"/>
    <w:rsid w:val="00A63BF3"/>
    <w:rsid w:val="00A659BC"/>
    <w:rsid w:val="00A66DF3"/>
    <w:rsid w:val="00A70F26"/>
    <w:rsid w:val="00A70F6B"/>
    <w:rsid w:val="00A73481"/>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A5CA9"/>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5EB7"/>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1A6E"/>
    <w:rsid w:val="00B2397F"/>
    <w:rsid w:val="00B23A4B"/>
    <w:rsid w:val="00B24660"/>
    <w:rsid w:val="00B2704F"/>
    <w:rsid w:val="00B276B7"/>
    <w:rsid w:val="00B2799B"/>
    <w:rsid w:val="00B27D21"/>
    <w:rsid w:val="00B304ED"/>
    <w:rsid w:val="00B30B69"/>
    <w:rsid w:val="00B30BEB"/>
    <w:rsid w:val="00B31619"/>
    <w:rsid w:val="00B32212"/>
    <w:rsid w:val="00B32F71"/>
    <w:rsid w:val="00B353BC"/>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348C"/>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0E3"/>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8FC"/>
    <w:rsid w:val="00BB5B0E"/>
    <w:rsid w:val="00BB6C46"/>
    <w:rsid w:val="00BB7312"/>
    <w:rsid w:val="00BC29CF"/>
    <w:rsid w:val="00BC52B2"/>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45"/>
    <w:rsid w:val="00BE6AF4"/>
    <w:rsid w:val="00BE6F1C"/>
    <w:rsid w:val="00BE7567"/>
    <w:rsid w:val="00BE79CE"/>
    <w:rsid w:val="00BF0ECB"/>
    <w:rsid w:val="00BF0FDD"/>
    <w:rsid w:val="00BF11DF"/>
    <w:rsid w:val="00BF1D89"/>
    <w:rsid w:val="00BF344B"/>
    <w:rsid w:val="00BF41BF"/>
    <w:rsid w:val="00BF7AF7"/>
    <w:rsid w:val="00BF7DB3"/>
    <w:rsid w:val="00BF7E2F"/>
    <w:rsid w:val="00C012B5"/>
    <w:rsid w:val="00C014D4"/>
    <w:rsid w:val="00C01EE2"/>
    <w:rsid w:val="00C01F54"/>
    <w:rsid w:val="00C027FB"/>
    <w:rsid w:val="00C03E9E"/>
    <w:rsid w:val="00C0417C"/>
    <w:rsid w:val="00C04492"/>
    <w:rsid w:val="00C058FA"/>
    <w:rsid w:val="00C05B72"/>
    <w:rsid w:val="00C0612E"/>
    <w:rsid w:val="00C06D05"/>
    <w:rsid w:val="00C06F50"/>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01DA"/>
    <w:rsid w:val="00C214A8"/>
    <w:rsid w:val="00C21E64"/>
    <w:rsid w:val="00C22052"/>
    <w:rsid w:val="00C22251"/>
    <w:rsid w:val="00C223EB"/>
    <w:rsid w:val="00C22787"/>
    <w:rsid w:val="00C22A45"/>
    <w:rsid w:val="00C23027"/>
    <w:rsid w:val="00C23A2B"/>
    <w:rsid w:val="00C24BE0"/>
    <w:rsid w:val="00C25C05"/>
    <w:rsid w:val="00C276FD"/>
    <w:rsid w:val="00C27A7A"/>
    <w:rsid w:val="00C30315"/>
    <w:rsid w:val="00C303BF"/>
    <w:rsid w:val="00C312A5"/>
    <w:rsid w:val="00C337D0"/>
    <w:rsid w:val="00C34571"/>
    <w:rsid w:val="00C348F4"/>
    <w:rsid w:val="00C34A83"/>
    <w:rsid w:val="00C36F80"/>
    <w:rsid w:val="00C372BC"/>
    <w:rsid w:val="00C3734B"/>
    <w:rsid w:val="00C376A1"/>
    <w:rsid w:val="00C403D2"/>
    <w:rsid w:val="00C42266"/>
    <w:rsid w:val="00C42B82"/>
    <w:rsid w:val="00C434C5"/>
    <w:rsid w:val="00C44241"/>
    <w:rsid w:val="00C44C51"/>
    <w:rsid w:val="00C45A55"/>
    <w:rsid w:val="00C46027"/>
    <w:rsid w:val="00C46075"/>
    <w:rsid w:val="00C46577"/>
    <w:rsid w:val="00C511E1"/>
    <w:rsid w:val="00C51AD0"/>
    <w:rsid w:val="00C52617"/>
    <w:rsid w:val="00C52D8C"/>
    <w:rsid w:val="00C52FC1"/>
    <w:rsid w:val="00C54F31"/>
    <w:rsid w:val="00C552CA"/>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8738C"/>
    <w:rsid w:val="00C90607"/>
    <w:rsid w:val="00C90A9D"/>
    <w:rsid w:val="00C91C39"/>
    <w:rsid w:val="00C934B8"/>
    <w:rsid w:val="00C93D2F"/>
    <w:rsid w:val="00C94DAE"/>
    <w:rsid w:val="00C95192"/>
    <w:rsid w:val="00C965F4"/>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6FC"/>
    <w:rsid w:val="00CF793E"/>
    <w:rsid w:val="00CF7B12"/>
    <w:rsid w:val="00CF7D30"/>
    <w:rsid w:val="00D00DE5"/>
    <w:rsid w:val="00D02323"/>
    <w:rsid w:val="00D023E4"/>
    <w:rsid w:val="00D02AE0"/>
    <w:rsid w:val="00D038D3"/>
    <w:rsid w:val="00D07174"/>
    <w:rsid w:val="00D07DBA"/>
    <w:rsid w:val="00D10683"/>
    <w:rsid w:val="00D10E41"/>
    <w:rsid w:val="00D1131D"/>
    <w:rsid w:val="00D11FF2"/>
    <w:rsid w:val="00D12D18"/>
    <w:rsid w:val="00D13216"/>
    <w:rsid w:val="00D14030"/>
    <w:rsid w:val="00D144B1"/>
    <w:rsid w:val="00D1454E"/>
    <w:rsid w:val="00D15C08"/>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DC9"/>
    <w:rsid w:val="00D5121F"/>
    <w:rsid w:val="00D522D0"/>
    <w:rsid w:val="00D52E44"/>
    <w:rsid w:val="00D54F9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65BCF"/>
    <w:rsid w:val="00D70FE1"/>
    <w:rsid w:val="00D727AC"/>
    <w:rsid w:val="00D73505"/>
    <w:rsid w:val="00D74452"/>
    <w:rsid w:val="00D75B30"/>
    <w:rsid w:val="00D76955"/>
    <w:rsid w:val="00D80371"/>
    <w:rsid w:val="00D83CBB"/>
    <w:rsid w:val="00D83FA9"/>
    <w:rsid w:val="00D8417E"/>
    <w:rsid w:val="00D8495A"/>
    <w:rsid w:val="00D87DC9"/>
    <w:rsid w:val="00D902BA"/>
    <w:rsid w:val="00D905ED"/>
    <w:rsid w:val="00D90818"/>
    <w:rsid w:val="00D91825"/>
    <w:rsid w:val="00D91F00"/>
    <w:rsid w:val="00D956F3"/>
    <w:rsid w:val="00D97C61"/>
    <w:rsid w:val="00D97D50"/>
    <w:rsid w:val="00DA156C"/>
    <w:rsid w:val="00DA33BD"/>
    <w:rsid w:val="00DA433F"/>
    <w:rsid w:val="00DA48EF"/>
    <w:rsid w:val="00DA4FAA"/>
    <w:rsid w:val="00DA64CA"/>
    <w:rsid w:val="00DB5D28"/>
    <w:rsid w:val="00DB668A"/>
    <w:rsid w:val="00DB6F7D"/>
    <w:rsid w:val="00DB7588"/>
    <w:rsid w:val="00DC1C66"/>
    <w:rsid w:val="00DC3A3F"/>
    <w:rsid w:val="00DC44B2"/>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1298"/>
    <w:rsid w:val="00DE28F9"/>
    <w:rsid w:val="00DE2B26"/>
    <w:rsid w:val="00DE2D8D"/>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303B"/>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249E"/>
    <w:rsid w:val="00E53765"/>
    <w:rsid w:val="00E5590B"/>
    <w:rsid w:val="00E601C2"/>
    <w:rsid w:val="00E6104A"/>
    <w:rsid w:val="00E61AA0"/>
    <w:rsid w:val="00E6291A"/>
    <w:rsid w:val="00E6298E"/>
    <w:rsid w:val="00E63016"/>
    <w:rsid w:val="00E728F5"/>
    <w:rsid w:val="00E736E4"/>
    <w:rsid w:val="00E74B05"/>
    <w:rsid w:val="00E77389"/>
    <w:rsid w:val="00E773C9"/>
    <w:rsid w:val="00E77F5D"/>
    <w:rsid w:val="00E8167D"/>
    <w:rsid w:val="00E819EA"/>
    <w:rsid w:val="00E81A05"/>
    <w:rsid w:val="00E82DED"/>
    <w:rsid w:val="00E83073"/>
    <w:rsid w:val="00E849E4"/>
    <w:rsid w:val="00E84AD7"/>
    <w:rsid w:val="00E86F4D"/>
    <w:rsid w:val="00E87123"/>
    <w:rsid w:val="00E873F8"/>
    <w:rsid w:val="00E90005"/>
    <w:rsid w:val="00E928B3"/>
    <w:rsid w:val="00E92B66"/>
    <w:rsid w:val="00E92E12"/>
    <w:rsid w:val="00E96365"/>
    <w:rsid w:val="00E965D2"/>
    <w:rsid w:val="00E96B4D"/>
    <w:rsid w:val="00E97568"/>
    <w:rsid w:val="00EA030B"/>
    <w:rsid w:val="00EA0556"/>
    <w:rsid w:val="00EA06E0"/>
    <w:rsid w:val="00EA0E55"/>
    <w:rsid w:val="00EA1301"/>
    <w:rsid w:val="00EA1738"/>
    <w:rsid w:val="00EA242A"/>
    <w:rsid w:val="00EA2AD9"/>
    <w:rsid w:val="00EA3BF5"/>
    <w:rsid w:val="00EA4104"/>
    <w:rsid w:val="00EA51CC"/>
    <w:rsid w:val="00EA5368"/>
    <w:rsid w:val="00EA589C"/>
    <w:rsid w:val="00EA6B81"/>
    <w:rsid w:val="00EA7331"/>
    <w:rsid w:val="00EB0D1C"/>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682"/>
    <w:rsid w:val="00EE0B50"/>
    <w:rsid w:val="00EE0FEB"/>
    <w:rsid w:val="00EE1CC9"/>
    <w:rsid w:val="00EE29E1"/>
    <w:rsid w:val="00EE325C"/>
    <w:rsid w:val="00EE67E2"/>
    <w:rsid w:val="00EE699A"/>
    <w:rsid w:val="00EE6A96"/>
    <w:rsid w:val="00EE76B7"/>
    <w:rsid w:val="00EF072E"/>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123B"/>
    <w:rsid w:val="00F34AB4"/>
    <w:rsid w:val="00F3622C"/>
    <w:rsid w:val="00F445BF"/>
    <w:rsid w:val="00F449E9"/>
    <w:rsid w:val="00F44DE0"/>
    <w:rsid w:val="00F47E3B"/>
    <w:rsid w:val="00F51B42"/>
    <w:rsid w:val="00F51FDE"/>
    <w:rsid w:val="00F52481"/>
    <w:rsid w:val="00F524C8"/>
    <w:rsid w:val="00F534A1"/>
    <w:rsid w:val="00F53D73"/>
    <w:rsid w:val="00F547F2"/>
    <w:rsid w:val="00F548FF"/>
    <w:rsid w:val="00F562D1"/>
    <w:rsid w:val="00F57522"/>
    <w:rsid w:val="00F61287"/>
    <w:rsid w:val="00F61618"/>
    <w:rsid w:val="00F61B04"/>
    <w:rsid w:val="00F61BE9"/>
    <w:rsid w:val="00F621C5"/>
    <w:rsid w:val="00F63001"/>
    <w:rsid w:val="00F6314D"/>
    <w:rsid w:val="00F634B8"/>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09F6"/>
    <w:rsid w:val="00F81341"/>
    <w:rsid w:val="00F81483"/>
    <w:rsid w:val="00F81B93"/>
    <w:rsid w:val="00F82E6D"/>
    <w:rsid w:val="00F8404E"/>
    <w:rsid w:val="00F8528C"/>
    <w:rsid w:val="00F866F6"/>
    <w:rsid w:val="00F9352E"/>
    <w:rsid w:val="00F945C9"/>
    <w:rsid w:val="00F9538C"/>
    <w:rsid w:val="00F96728"/>
    <w:rsid w:val="00F97251"/>
    <w:rsid w:val="00F974A2"/>
    <w:rsid w:val="00F9756B"/>
    <w:rsid w:val="00F97573"/>
    <w:rsid w:val="00FA0282"/>
    <w:rsid w:val="00FA27F5"/>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2">
    <w:name w:val="heading 2"/>
    <w:basedOn w:val="Normal"/>
    <w:next w:val="Normal"/>
    <w:link w:val="Heading2Char"/>
    <w:unhideWhenUsed/>
    <w:qFormat/>
    <w:locked/>
    <w:rsid w:val="00457F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uiPriority w:val="99"/>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 w:type="character" w:customStyle="1" w:styleId="Heading2Char">
    <w:name w:val="Heading 2 Char"/>
    <w:basedOn w:val="DefaultParagraphFont"/>
    <w:link w:val="Heading2"/>
    <w:rsid w:val="00457FF4"/>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locked/>
    <w:rsid w:val="001C7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5774">
      <w:bodyDiv w:val="1"/>
      <w:marLeft w:val="0"/>
      <w:marRight w:val="0"/>
      <w:marTop w:val="0"/>
      <w:marBottom w:val="0"/>
      <w:divBdr>
        <w:top w:val="none" w:sz="0" w:space="0" w:color="auto"/>
        <w:left w:val="none" w:sz="0" w:space="0" w:color="auto"/>
        <w:bottom w:val="none" w:sz="0" w:space="0" w:color="auto"/>
        <w:right w:val="none" w:sz="0" w:space="0" w:color="auto"/>
      </w:divBdr>
    </w:div>
    <w:div w:id="142165893">
      <w:bodyDiv w:val="1"/>
      <w:marLeft w:val="0"/>
      <w:marRight w:val="0"/>
      <w:marTop w:val="0"/>
      <w:marBottom w:val="0"/>
      <w:divBdr>
        <w:top w:val="none" w:sz="0" w:space="0" w:color="auto"/>
        <w:left w:val="none" w:sz="0" w:space="0" w:color="auto"/>
        <w:bottom w:val="none" w:sz="0" w:space="0" w:color="auto"/>
        <w:right w:val="none" w:sz="0" w:space="0" w:color="auto"/>
      </w:divBdr>
    </w:div>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738749050">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2218621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983386051">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106773223">
      <w:bodyDiv w:val="1"/>
      <w:marLeft w:val="0"/>
      <w:marRight w:val="0"/>
      <w:marTop w:val="0"/>
      <w:marBottom w:val="0"/>
      <w:divBdr>
        <w:top w:val="none" w:sz="0" w:space="0" w:color="auto"/>
        <w:left w:val="none" w:sz="0" w:space="0" w:color="auto"/>
        <w:bottom w:val="none" w:sz="0" w:space="0" w:color="auto"/>
        <w:right w:val="none" w:sz="0" w:space="0" w:color="auto"/>
      </w:divBdr>
    </w:div>
    <w:div w:id="1207379005">
      <w:bodyDiv w:val="1"/>
      <w:marLeft w:val="0"/>
      <w:marRight w:val="0"/>
      <w:marTop w:val="0"/>
      <w:marBottom w:val="0"/>
      <w:divBdr>
        <w:top w:val="none" w:sz="0" w:space="0" w:color="auto"/>
        <w:left w:val="none" w:sz="0" w:space="0" w:color="auto"/>
        <w:bottom w:val="none" w:sz="0" w:space="0" w:color="auto"/>
        <w:right w:val="none" w:sz="0" w:space="0" w:color="auto"/>
      </w:divBdr>
    </w:div>
    <w:div w:id="126727484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771852794">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 w:id="21353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www.ebatco.com" TargetMode="External"/><Relationship Id="rId2" Type="http://schemas.openxmlformats.org/officeDocument/2006/relationships/numbering" Target="numbering.xml"/><Relationship Id="rId16" Type="http://schemas.openxmlformats.org/officeDocument/2006/relationships/hyperlink" Target="mailto:info@ebatco.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mailto:info@ebatco.com"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2E9F-6653-4D47-B9B3-2984C809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trial</Template>
  <TotalTime>46</TotalTime>
  <Pages>1</Pages>
  <Words>954</Words>
  <Characters>6031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6972</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Farel</dc:creator>
  <cp:lastModifiedBy>DEHUA YANG</cp:lastModifiedBy>
  <cp:revision>9</cp:revision>
  <cp:lastPrinted>2011-11-29T15:28:00Z</cp:lastPrinted>
  <dcterms:created xsi:type="dcterms:W3CDTF">2024-06-25T13:19:00Z</dcterms:created>
  <dcterms:modified xsi:type="dcterms:W3CDTF">2024-06-25T14:22:00Z</dcterms:modified>
</cp:coreProperties>
</file>